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B237" w14:textId="4DC7E38E" w:rsidR="00FA3CC5" w:rsidRDefault="00FA3CC5"/>
    <w:p w14:paraId="24E56264" w14:textId="604E1C62" w:rsidR="004E3280" w:rsidRDefault="003675E7">
      <w:r w:rsidRPr="003675E7">
        <w:rPr>
          <w:noProof/>
          <w:lang w:eastAsia="en-US"/>
        </w:rPr>
        <w:drawing>
          <wp:inline distT="0" distB="0" distL="0" distR="0" wp14:anchorId="5FFCDAE8" wp14:editId="12C09FD3">
            <wp:extent cx="5486400" cy="89827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98276"/>
                    </a:xfrm>
                    <a:prstGeom prst="rect">
                      <a:avLst/>
                    </a:prstGeom>
                    <a:noFill/>
                    <a:ln>
                      <a:noFill/>
                    </a:ln>
                  </pic:spPr>
                </pic:pic>
              </a:graphicData>
            </a:graphic>
          </wp:inline>
        </w:drawing>
      </w:r>
    </w:p>
    <w:p w14:paraId="579F9BD4" w14:textId="77777777" w:rsidR="00FA3CC5" w:rsidRDefault="00FA3CC5"/>
    <w:p w14:paraId="6E3FCCDC" w14:textId="77777777" w:rsidR="00D80898" w:rsidRDefault="00D80898"/>
    <w:p w14:paraId="20A3037E" w14:textId="77777777" w:rsidR="00D80898" w:rsidRDefault="00D80898">
      <w:bookmarkStart w:id="0" w:name="_GoBack"/>
      <w:bookmarkEnd w:id="0"/>
    </w:p>
    <w:p w14:paraId="212A0888" w14:textId="77777777" w:rsidR="00FA3CC5" w:rsidRDefault="00FA3CC5"/>
    <w:tbl>
      <w:tblPr>
        <w:tblStyle w:val="TableGrid"/>
        <w:tblW w:w="9558" w:type="dxa"/>
        <w:tblLook w:val="04A0" w:firstRow="1" w:lastRow="0" w:firstColumn="1" w:lastColumn="0" w:noHBand="0" w:noVBand="1"/>
      </w:tblPr>
      <w:tblGrid>
        <w:gridCol w:w="468"/>
        <w:gridCol w:w="2430"/>
        <w:gridCol w:w="6660"/>
      </w:tblGrid>
      <w:tr w:rsidR="00193048" w:rsidRPr="00474B7C" w14:paraId="439C8D40" w14:textId="77777777" w:rsidTr="003675E7">
        <w:tc>
          <w:tcPr>
            <w:tcW w:w="468" w:type="dxa"/>
          </w:tcPr>
          <w:p w14:paraId="1C9DA8F7" w14:textId="77777777" w:rsidR="00193048" w:rsidRPr="00474B7C" w:rsidRDefault="00193048" w:rsidP="00D808B4">
            <w:pPr>
              <w:rPr>
                <w:b/>
              </w:rPr>
            </w:pPr>
          </w:p>
        </w:tc>
        <w:tc>
          <w:tcPr>
            <w:tcW w:w="2430" w:type="dxa"/>
          </w:tcPr>
          <w:p w14:paraId="6767D5FB" w14:textId="67E39D46" w:rsidR="00193048" w:rsidRPr="00474B7C" w:rsidRDefault="00193048" w:rsidP="00D808B4">
            <w:pPr>
              <w:rPr>
                <w:b/>
              </w:rPr>
            </w:pPr>
            <w:r w:rsidRPr="00474B7C">
              <w:rPr>
                <w:b/>
              </w:rPr>
              <w:t>Term/heading</w:t>
            </w:r>
          </w:p>
        </w:tc>
        <w:tc>
          <w:tcPr>
            <w:tcW w:w="6660" w:type="dxa"/>
          </w:tcPr>
          <w:p w14:paraId="1588FE9D" w14:textId="22157C25" w:rsidR="00193048" w:rsidRPr="00474B7C" w:rsidRDefault="00193048" w:rsidP="00D808B4">
            <w:pPr>
              <w:rPr>
                <w:b/>
              </w:rPr>
            </w:pPr>
            <w:r w:rsidRPr="00474B7C">
              <w:rPr>
                <w:b/>
              </w:rPr>
              <w:t>Description/Definition</w:t>
            </w:r>
          </w:p>
        </w:tc>
      </w:tr>
      <w:tr w:rsidR="003675E7" w:rsidRPr="00FA3CC5" w14:paraId="0E2EBB5A" w14:textId="77777777" w:rsidTr="003675E7">
        <w:tc>
          <w:tcPr>
            <w:tcW w:w="468" w:type="dxa"/>
          </w:tcPr>
          <w:p w14:paraId="7CDE5D4A" w14:textId="712C2273" w:rsidR="00193048" w:rsidRPr="00FA3CC5" w:rsidRDefault="003675E7" w:rsidP="00D808B4">
            <w:r>
              <w:t>1</w:t>
            </w:r>
          </w:p>
        </w:tc>
        <w:tc>
          <w:tcPr>
            <w:tcW w:w="2430" w:type="dxa"/>
          </w:tcPr>
          <w:p w14:paraId="252510A8" w14:textId="18B89950" w:rsidR="003675E7" w:rsidRPr="00FA3CC5" w:rsidRDefault="003675E7" w:rsidP="00D808B4">
            <w:r w:rsidRPr="00FA3CC5">
              <w:t>Reference Trajectory 110818</w:t>
            </w:r>
          </w:p>
        </w:tc>
        <w:tc>
          <w:tcPr>
            <w:tcW w:w="6660" w:type="dxa"/>
          </w:tcPr>
          <w:p w14:paraId="19FCB169" w14:textId="77777777" w:rsidR="003675E7" w:rsidRPr="00FA3CC5" w:rsidRDefault="003675E7" w:rsidP="00D808B4">
            <w:r w:rsidRPr="00FA3CC5">
              <w:t>Refers to the version of the reference trajectory used for creating the “one pager”</w:t>
            </w:r>
            <w:proofErr w:type="gramStart"/>
            <w:r w:rsidRPr="00FA3CC5">
              <w:t>;</w:t>
            </w:r>
            <w:proofErr w:type="gramEnd"/>
            <w:r w:rsidRPr="00FA3CC5">
              <w:t xml:space="preserve"> relevant to time and altitude of closest approach (c/a) and other geometrical data.  Version is in YY/MM/DD format. </w:t>
            </w:r>
          </w:p>
        </w:tc>
      </w:tr>
      <w:tr w:rsidR="003675E7" w:rsidRPr="00FA3CC5" w14:paraId="536ECF42" w14:textId="77777777" w:rsidTr="003675E7">
        <w:tc>
          <w:tcPr>
            <w:tcW w:w="468" w:type="dxa"/>
          </w:tcPr>
          <w:p w14:paraId="1AD727A5" w14:textId="77777777" w:rsidR="003675E7" w:rsidRPr="00FA3CC5" w:rsidRDefault="003675E7" w:rsidP="00D808B4"/>
        </w:tc>
        <w:tc>
          <w:tcPr>
            <w:tcW w:w="2430" w:type="dxa"/>
          </w:tcPr>
          <w:p w14:paraId="31D613A2" w14:textId="79ADC7CE" w:rsidR="003675E7" w:rsidRPr="00FA3CC5" w:rsidRDefault="003675E7" w:rsidP="00D808B4">
            <w:r w:rsidRPr="00FA3CC5">
              <w:t>Revision 9, 140220</w:t>
            </w:r>
          </w:p>
        </w:tc>
        <w:tc>
          <w:tcPr>
            <w:tcW w:w="6660" w:type="dxa"/>
          </w:tcPr>
          <w:p w14:paraId="7CBC0092" w14:textId="77777777" w:rsidR="003675E7" w:rsidRPr="00FA3CC5" w:rsidRDefault="003675E7" w:rsidP="00D808B4">
            <w:r w:rsidRPr="00FA3CC5">
              <w:t xml:space="preserve">See above. </w:t>
            </w:r>
          </w:p>
        </w:tc>
      </w:tr>
      <w:tr w:rsidR="003675E7" w:rsidRPr="00FA3CC5" w14:paraId="7C254B09" w14:textId="77777777" w:rsidTr="003675E7">
        <w:tc>
          <w:tcPr>
            <w:tcW w:w="468" w:type="dxa"/>
          </w:tcPr>
          <w:p w14:paraId="09799419" w14:textId="61D8BFBC" w:rsidR="003675E7" w:rsidRPr="00FA3CC5" w:rsidRDefault="003675E7" w:rsidP="00D808B4">
            <w:r>
              <w:t>2</w:t>
            </w:r>
          </w:p>
        </w:tc>
        <w:tc>
          <w:tcPr>
            <w:tcW w:w="2430" w:type="dxa"/>
          </w:tcPr>
          <w:p w14:paraId="5D11F84F" w14:textId="4B189785" w:rsidR="003675E7" w:rsidRPr="00FA3CC5" w:rsidRDefault="003675E7" w:rsidP="00D808B4">
            <w:r w:rsidRPr="00FA3CC5">
              <w:t>Range (km)</w:t>
            </w:r>
          </w:p>
        </w:tc>
        <w:tc>
          <w:tcPr>
            <w:tcW w:w="6660" w:type="dxa"/>
          </w:tcPr>
          <w:p w14:paraId="156FC6AB" w14:textId="4E34DDF7" w:rsidR="003675E7" w:rsidRPr="00FA3CC5" w:rsidRDefault="003675E7" w:rsidP="00D808B4">
            <w:proofErr w:type="gramStart"/>
            <w:r w:rsidRPr="00FA3CC5">
              <w:t>distance</w:t>
            </w:r>
            <w:proofErr w:type="gramEnd"/>
            <w:r w:rsidRPr="00FA3CC5">
              <w:t xml:space="preserve"> from spacecraft to Titan’s surface at specified time</w:t>
            </w:r>
            <w:r w:rsidR="009C3EA0">
              <w:t xml:space="preserve"> relative to c/a</w:t>
            </w:r>
          </w:p>
        </w:tc>
      </w:tr>
      <w:tr w:rsidR="003675E7" w:rsidRPr="00FA3CC5" w14:paraId="3AD18523" w14:textId="77777777" w:rsidTr="003675E7">
        <w:tc>
          <w:tcPr>
            <w:tcW w:w="468" w:type="dxa"/>
          </w:tcPr>
          <w:p w14:paraId="01590B43" w14:textId="53408BE7" w:rsidR="003675E7" w:rsidRPr="00FA3CC5" w:rsidRDefault="003675E7" w:rsidP="00D808B4">
            <w:r>
              <w:t>3</w:t>
            </w:r>
          </w:p>
        </w:tc>
        <w:tc>
          <w:tcPr>
            <w:tcW w:w="2430" w:type="dxa"/>
          </w:tcPr>
          <w:p w14:paraId="3DBC8BF6" w14:textId="18334133" w:rsidR="003675E7" w:rsidRPr="00FA3CC5" w:rsidRDefault="003675E7" w:rsidP="00D808B4">
            <w:r w:rsidRPr="00FA3CC5">
              <w:t>Angular diameter (degrees)</w:t>
            </w:r>
          </w:p>
        </w:tc>
        <w:tc>
          <w:tcPr>
            <w:tcW w:w="6660" w:type="dxa"/>
          </w:tcPr>
          <w:p w14:paraId="0552213B" w14:textId="77777777" w:rsidR="003675E7" w:rsidRPr="00FA3CC5" w:rsidRDefault="003675E7" w:rsidP="00D808B4">
            <w:r w:rsidRPr="00FA3CC5">
              <w:t>Angular diameter of Titan at specified time</w:t>
            </w:r>
          </w:p>
        </w:tc>
      </w:tr>
      <w:tr w:rsidR="003675E7" w:rsidRPr="00FA3CC5" w14:paraId="257653A7" w14:textId="77777777" w:rsidTr="003675E7">
        <w:tc>
          <w:tcPr>
            <w:tcW w:w="468" w:type="dxa"/>
          </w:tcPr>
          <w:p w14:paraId="51FE8130" w14:textId="6E43F961" w:rsidR="003675E7" w:rsidRPr="00FA3CC5" w:rsidRDefault="003675E7" w:rsidP="00D808B4">
            <w:r>
              <w:t>4</w:t>
            </w:r>
          </w:p>
        </w:tc>
        <w:tc>
          <w:tcPr>
            <w:tcW w:w="2430" w:type="dxa"/>
          </w:tcPr>
          <w:p w14:paraId="12ED6C1B" w14:textId="5011B2A0" w:rsidR="003675E7" w:rsidRPr="00FA3CC5" w:rsidRDefault="003675E7" w:rsidP="00D808B4">
            <w:r w:rsidRPr="00FA3CC5">
              <w:t>Flyby</w:t>
            </w:r>
          </w:p>
        </w:tc>
        <w:tc>
          <w:tcPr>
            <w:tcW w:w="6660" w:type="dxa"/>
          </w:tcPr>
          <w:p w14:paraId="3958F9DD" w14:textId="7DFF0ADB" w:rsidR="003675E7" w:rsidRPr="00FA3CC5" w:rsidRDefault="003675E7" w:rsidP="00D808B4">
            <w:r w:rsidRPr="00FA3CC5">
              <w:t>All Titan targeted flybys were labeled in order, wi</w:t>
            </w:r>
            <w:r>
              <w:t>th a few special exceptions at the start of the mission (T0, TA, TB, T3, T4, T5…</w:t>
            </w:r>
            <w:r w:rsidRPr="00FA3CC5">
              <w:t xml:space="preserve">). In some cases, indicated in the format </w:t>
            </w:r>
            <w:proofErr w:type="spellStart"/>
            <w:r w:rsidRPr="00FA3CC5">
              <w:t>revTI_T</w:t>
            </w:r>
            <w:proofErr w:type="spellEnd"/>
            <w:r w:rsidRPr="00FA3CC5">
              <w:t>#, where rev is defined below and T# is the usual Titan flyby (e.g. T105 is the same as 208TI_T105)</w:t>
            </w:r>
          </w:p>
        </w:tc>
      </w:tr>
      <w:tr w:rsidR="003675E7" w:rsidRPr="00FA3CC5" w14:paraId="26C3D849" w14:textId="77777777" w:rsidTr="003675E7">
        <w:tc>
          <w:tcPr>
            <w:tcW w:w="468" w:type="dxa"/>
          </w:tcPr>
          <w:p w14:paraId="6F796451" w14:textId="40C2DD9F" w:rsidR="003675E7" w:rsidRPr="00FA3CC5" w:rsidRDefault="003675E7" w:rsidP="00D808B4">
            <w:r>
              <w:t>5</w:t>
            </w:r>
          </w:p>
        </w:tc>
        <w:tc>
          <w:tcPr>
            <w:tcW w:w="2430" w:type="dxa"/>
          </w:tcPr>
          <w:p w14:paraId="4773E244" w14:textId="2BAEE44F" w:rsidR="003675E7" w:rsidRPr="00FA3CC5" w:rsidRDefault="003675E7" w:rsidP="00D808B4">
            <w:r w:rsidRPr="00FA3CC5">
              <w:t>Mission phase (not labeled; the column between “Flyby” and “Rev”)</w:t>
            </w:r>
          </w:p>
        </w:tc>
        <w:tc>
          <w:tcPr>
            <w:tcW w:w="6660" w:type="dxa"/>
          </w:tcPr>
          <w:p w14:paraId="43BC382C" w14:textId="77777777" w:rsidR="003675E7" w:rsidRPr="00FA3CC5" w:rsidRDefault="003675E7" w:rsidP="00D808B4">
            <w:r w:rsidRPr="00FA3CC5">
              <w:t xml:space="preserve">Refers to different inclination “phases” of the mission, alternating between orbits highly inclined to the ring plane (e.g. In-1, Inclined-2) and orbits in or near the ring plane (e.g. Equatorial-1, Equatorial-2).  F-ring is for near the end of mission. </w:t>
            </w:r>
          </w:p>
        </w:tc>
      </w:tr>
      <w:tr w:rsidR="003675E7" w:rsidRPr="00FA3CC5" w14:paraId="471E7BDB" w14:textId="77777777" w:rsidTr="003675E7">
        <w:tc>
          <w:tcPr>
            <w:tcW w:w="468" w:type="dxa"/>
          </w:tcPr>
          <w:p w14:paraId="6DC7A23D" w14:textId="77777777" w:rsidR="003675E7" w:rsidRPr="00FA3CC5" w:rsidRDefault="003675E7" w:rsidP="00D808B4"/>
        </w:tc>
        <w:tc>
          <w:tcPr>
            <w:tcW w:w="2430" w:type="dxa"/>
          </w:tcPr>
          <w:p w14:paraId="424D3C5D" w14:textId="1F0A6B6B" w:rsidR="003675E7" w:rsidRPr="00FA3CC5" w:rsidRDefault="003675E7" w:rsidP="00D808B4">
            <w:r w:rsidRPr="00FA3CC5">
              <w:t>Rev</w:t>
            </w:r>
          </w:p>
        </w:tc>
        <w:tc>
          <w:tcPr>
            <w:tcW w:w="6660" w:type="dxa"/>
          </w:tcPr>
          <w:p w14:paraId="28119F71" w14:textId="77777777" w:rsidR="003675E7" w:rsidRPr="00FA3CC5" w:rsidRDefault="003675E7" w:rsidP="00D808B4">
            <w:r w:rsidRPr="00FA3CC5">
              <w:t xml:space="preserve">The spacecraft orbital “revolution”, counted from the beginning of the mission, on which this Titan flyby occurred.  Revs commence at </w:t>
            </w:r>
            <w:proofErr w:type="spellStart"/>
            <w:r w:rsidRPr="00FA3CC5">
              <w:t>apoapse</w:t>
            </w:r>
            <w:proofErr w:type="spellEnd"/>
            <w:r w:rsidRPr="00FA3CC5">
              <w:t xml:space="preserve">. </w:t>
            </w:r>
          </w:p>
        </w:tc>
      </w:tr>
      <w:tr w:rsidR="003675E7" w:rsidRPr="00FA3CC5" w14:paraId="52310BBC" w14:textId="77777777" w:rsidTr="003675E7">
        <w:tc>
          <w:tcPr>
            <w:tcW w:w="468" w:type="dxa"/>
          </w:tcPr>
          <w:p w14:paraId="2AF348D8" w14:textId="77777777" w:rsidR="003675E7" w:rsidRPr="00FA3CC5" w:rsidRDefault="003675E7" w:rsidP="00D808B4"/>
        </w:tc>
        <w:tc>
          <w:tcPr>
            <w:tcW w:w="2430" w:type="dxa"/>
          </w:tcPr>
          <w:p w14:paraId="7782572C" w14:textId="1EA7EB1C" w:rsidR="003675E7" w:rsidRPr="00FA3CC5" w:rsidRDefault="003675E7" w:rsidP="00D808B4">
            <w:r w:rsidRPr="00FA3CC5">
              <w:t>SEQ</w:t>
            </w:r>
          </w:p>
        </w:tc>
        <w:tc>
          <w:tcPr>
            <w:tcW w:w="6660" w:type="dxa"/>
          </w:tcPr>
          <w:p w14:paraId="5E573249" w14:textId="77777777" w:rsidR="003675E7" w:rsidRPr="00FA3CC5" w:rsidRDefault="003675E7" w:rsidP="00D808B4">
            <w:r w:rsidRPr="00FA3CC5">
              <w:t xml:space="preserve">The spacecraft sequence, counted from the beginning of the mission, </w:t>
            </w:r>
            <w:proofErr w:type="gramStart"/>
            <w:r w:rsidRPr="00FA3CC5">
              <w:t>in which</w:t>
            </w:r>
            <w:proofErr w:type="gramEnd"/>
            <w:r w:rsidRPr="00FA3CC5">
              <w:t xml:space="preserve"> this Titan flyby occurred.  Sequences ranged in duration from 6-10 weeks. </w:t>
            </w:r>
          </w:p>
        </w:tc>
      </w:tr>
      <w:tr w:rsidR="003675E7" w:rsidRPr="00FA3CC5" w14:paraId="6CDFA0A8" w14:textId="77777777" w:rsidTr="003675E7">
        <w:tc>
          <w:tcPr>
            <w:tcW w:w="468" w:type="dxa"/>
          </w:tcPr>
          <w:p w14:paraId="3DC52B16" w14:textId="77777777" w:rsidR="003675E7" w:rsidRPr="00FA3CC5" w:rsidRDefault="003675E7" w:rsidP="00D808B4"/>
        </w:tc>
        <w:tc>
          <w:tcPr>
            <w:tcW w:w="2430" w:type="dxa"/>
          </w:tcPr>
          <w:p w14:paraId="3E9C16BF" w14:textId="523E5EBC" w:rsidR="003675E7" w:rsidRPr="00FA3CC5" w:rsidRDefault="003675E7" w:rsidP="00D808B4">
            <w:r w:rsidRPr="00FA3CC5">
              <w:t>Date</w:t>
            </w:r>
          </w:p>
        </w:tc>
        <w:tc>
          <w:tcPr>
            <w:tcW w:w="6660" w:type="dxa"/>
          </w:tcPr>
          <w:p w14:paraId="05216300" w14:textId="77777777" w:rsidR="003675E7" w:rsidRPr="00FA3CC5" w:rsidRDefault="003675E7" w:rsidP="00D808B4">
            <w:r w:rsidRPr="00FA3CC5">
              <w:t>Calendar date for closest approach to Titan.</w:t>
            </w:r>
          </w:p>
        </w:tc>
      </w:tr>
      <w:tr w:rsidR="003675E7" w:rsidRPr="00FA3CC5" w14:paraId="3E3EB54B" w14:textId="77777777" w:rsidTr="003675E7">
        <w:tc>
          <w:tcPr>
            <w:tcW w:w="468" w:type="dxa"/>
          </w:tcPr>
          <w:p w14:paraId="7C7D40E2" w14:textId="77777777" w:rsidR="003675E7" w:rsidRPr="00FA3CC5" w:rsidRDefault="003675E7" w:rsidP="00D808B4"/>
        </w:tc>
        <w:tc>
          <w:tcPr>
            <w:tcW w:w="2430" w:type="dxa"/>
          </w:tcPr>
          <w:p w14:paraId="5A234CEF" w14:textId="5012CE32" w:rsidR="003675E7" w:rsidRPr="00FA3CC5" w:rsidRDefault="003675E7" w:rsidP="00D808B4">
            <w:r w:rsidRPr="00FA3CC5">
              <w:t>DOY</w:t>
            </w:r>
          </w:p>
        </w:tc>
        <w:tc>
          <w:tcPr>
            <w:tcW w:w="6660" w:type="dxa"/>
          </w:tcPr>
          <w:p w14:paraId="174B4910" w14:textId="77777777" w:rsidR="003675E7" w:rsidRPr="00FA3CC5" w:rsidRDefault="003675E7" w:rsidP="00D808B4">
            <w:r w:rsidRPr="00FA3CC5">
              <w:t>Day of the year (e.g. January 1 = 001) for closest approach to Titan.</w:t>
            </w:r>
          </w:p>
        </w:tc>
      </w:tr>
      <w:tr w:rsidR="003675E7" w:rsidRPr="00FA3CC5" w14:paraId="5C92514B" w14:textId="77777777" w:rsidTr="003675E7">
        <w:tc>
          <w:tcPr>
            <w:tcW w:w="468" w:type="dxa"/>
          </w:tcPr>
          <w:p w14:paraId="6423A541" w14:textId="77777777" w:rsidR="003675E7" w:rsidRPr="00FA3CC5" w:rsidRDefault="003675E7" w:rsidP="00D808B4"/>
        </w:tc>
        <w:tc>
          <w:tcPr>
            <w:tcW w:w="2430" w:type="dxa"/>
          </w:tcPr>
          <w:p w14:paraId="06BDC6DB" w14:textId="6C2F0D71" w:rsidR="003675E7" w:rsidRPr="00FA3CC5" w:rsidRDefault="003675E7" w:rsidP="00D808B4">
            <w:r w:rsidRPr="00FA3CC5">
              <w:t>C/A Time</w:t>
            </w:r>
          </w:p>
        </w:tc>
        <w:tc>
          <w:tcPr>
            <w:tcW w:w="6660" w:type="dxa"/>
          </w:tcPr>
          <w:p w14:paraId="39827369" w14:textId="77777777" w:rsidR="003675E7" w:rsidRPr="00FA3CC5" w:rsidRDefault="003675E7" w:rsidP="00D808B4">
            <w:r w:rsidRPr="00FA3CC5">
              <w:t>Time in SCET (Spacecraft Event Time) of closest approach</w:t>
            </w:r>
          </w:p>
        </w:tc>
      </w:tr>
      <w:tr w:rsidR="003675E7" w:rsidRPr="00FA3CC5" w14:paraId="6EE10CF6" w14:textId="77777777" w:rsidTr="003675E7">
        <w:tc>
          <w:tcPr>
            <w:tcW w:w="468" w:type="dxa"/>
          </w:tcPr>
          <w:p w14:paraId="5B8CF927" w14:textId="77777777" w:rsidR="003675E7" w:rsidRPr="00FA3CC5" w:rsidRDefault="003675E7" w:rsidP="00D808B4"/>
        </w:tc>
        <w:tc>
          <w:tcPr>
            <w:tcW w:w="2430" w:type="dxa"/>
          </w:tcPr>
          <w:p w14:paraId="74459564" w14:textId="46879C88" w:rsidR="003675E7" w:rsidRPr="00FA3CC5" w:rsidRDefault="003675E7" w:rsidP="00D808B4">
            <w:proofErr w:type="spellStart"/>
            <w:r w:rsidRPr="00FA3CC5">
              <w:t>Hyd</w:t>
            </w:r>
            <w:proofErr w:type="spellEnd"/>
            <w:r w:rsidRPr="00FA3CC5">
              <w:t xml:space="preserve"> </w:t>
            </w:r>
            <w:proofErr w:type="spellStart"/>
            <w:r w:rsidRPr="00FA3CC5">
              <w:t>gms</w:t>
            </w:r>
            <w:proofErr w:type="spellEnd"/>
          </w:p>
        </w:tc>
        <w:tc>
          <w:tcPr>
            <w:tcW w:w="6660" w:type="dxa"/>
          </w:tcPr>
          <w:p w14:paraId="2C8113CB" w14:textId="77777777" w:rsidR="003675E7" w:rsidRPr="00FA3CC5" w:rsidRDefault="003675E7" w:rsidP="00D808B4">
            <w:r w:rsidRPr="00FA3CC5">
              <w:t xml:space="preserve">Grams of hydrazine used during this flyby.  Yellow background for predicted values; blue background for actual as-flown value. </w:t>
            </w:r>
          </w:p>
        </w:tc>
      </w:tr>
      <w:tr w:rsidR="003675E7" w:rsidRPr="00FA3CC5" w14:paraId="433E14F6" w14:textId="77777777" w:rsidTr="003675E7">
        <w:tc>
          <w:tcPr>
            <w:tcW w:w="468" w:type="dxa"/>
          </w:tcPr>
          <w:p w14:paraId="74ED7C34" w14:textId="77777777" w:rsidR="003675E7" w:rsidRPr="00FA3CC5" w:rsidRDefault="003675E7" w:rsidP="00D808B4"/>
        </w:tc>
        <w:tc>
          <w:tcPr>
            <w:tcW w:w="2430" w:type="dxa"/>
          </w:tcPr>
          <w:p w14:paraId="4ABB3EBD" w14:textId="4A3F2EA6" w:rsidR="003675E7" w:rsidRPr="00FA3CC5" w:rsidRDefault="003675E7" w:rsidP="00D808B4">
            <w:r w:rsidRPr="00FA3CC5">
              <w:t>Alt</w:t>
            </w:r>
          </w:p>
        </w:tc>
        <w:tc>
          <w:tcPr>
            <w:tcW w:w="6660" w:type="dxa"/>
          </w:tcPr>
          <w:p w14:paraId="0C62BECA" w14:textId="77777777" w:rsidR="003675E7" w:rsidRPr="00FA3CC5" w:rsidRDefault="003675E7" w:rsidP="00D808B4">
            <w:r w:rsidRPr="00FA3CC5">
              <w:t>Altitude in km of the spacecraft from Titan’s surface at closest approach</w:t>
            </w:r>
          </w:p>
        </w:tc>
      </w:tr>
      <w:tr w:rsidR="003675E7" w:rsidRPr="00FA3CC5" w14:paraId="41C381B7" w14:textId="77777777" w:rsidTr="003675E7">
        <w:tc>
          <w:tcPr>
            <w:tcW w:w="468" w:type="dxa"/>
          </w:tcPr>
          <w:p w14:paraId="2EF08366" w14:textId="77777777" w:rsidR="003675E7" w:rsidRPr="00FA3CC5" w:rsidRDefault="003675E7" w:rsidP="00D808B4"/>
        </w:tc>
        <w:tc>
          <w:tcPr>
            <w:tcW w:w="2430" w:type="dxa"/>
          </w:tcPr>
          <w:p w14:paraId="3FB70971" w14:textId="55C2D84A" w:rsidR="003675E7" w:rsidRPr="00FA3CC5" w:rsidRDefault="003675E7" w:rsidP="00D808B4">
            <w:r w:rsidRPr="00FA3CC5">
              <w:t>Inbound to c/a (hours</w:t>
            </w:r>
            <w:proofErr w:type="gramStart"/>
            <w:r w:rsidRPr="00FA3CC5">
              <w:t>) ,</w:t>
            </w:r>
            <w:proofErr w:type="gramEnd"/>
            <w:r w:rsidRPr="00FA3CC5">
              <w:t xml:space="preserve"> Outbound from c/a (hours)</w:t>
            </w:r>
          </w:p>
        </w:tc>
        <w:tc>
          <w:tcPr>
            <w:tcW w:w="6660" w:type="dxa"/>
          </w:tcPr>
          <w:p w14:paraId="6BF2195A" w14:textId="77777777" w:rsidR="003675E7" w:rsidRPr="00FA3CC5" w:rsidRDefault="003675E7" w:rsidP="00D808B4">
            <w:r w:rsidRPr="00FA3CC5">
              <w:t xml:space="preserve">Refers to black row immediately below this legend, stretching across the timeline. Events are indicated as epoch relative to the time of closest approach (time 0, not shown on the black bar, but located halfway between -1 and 1).  Inbound events approaching closest approach are in negative epoch time; outbound events after closest approach are in positive epoch time.  Three heavy black vertical lines show the c/a – 1 hour, c/a, and c/a + 1 hour epochs. </w:t>
            </w:r>
          </w:p>
        </w:tc>
      </w:tr>
      <w:tr w:rsidR="003675E7" w:rsidRPr="00FA3CC5" w14:paraId="176F8330" w14:textId="77777777" w:rsidTr="003675E7">
        <w:tc>
          <w:tcPr>
            <w:tcW w:w="468" w:type="dxa"/>
          </w:tcPr>
          <w:p w14:paraId="46D99C34" w14:textId="77777777" w:rsidR="003675E7" w:rsidRPr="00FA3CC5" w:rsidRDefault="003675E7" w:rsidP="00D808B4"/>
        </w:tc>
        <w:tc>
          <w:tcPr>
            <w:tcW w:w="2430" w:type="dxa"/>
          </w:tcPr>
          <w:p w14:paraId="0454123D" w14:textId="5BEDA4D6" w:rsidR="003675E7" w:rsidRPr="00FA3CC5" w:rsidRDefault="003675E7" w:rsidP="00D808B4">
            <w:r w:rsidRPr="00FA3CC5">
              <w:t>O/B Lit?</w:t>
            </w:r>
          </w:p>
        </w:tc>
        <w:tc>
          <w:tcPr>
            <w:tcW w:w="6660" w:type="dxa"/>
          </w:tcPr>
          <w:p w14:paraId="284C6FF3" w14:textId="77777777" w:rsidR="003675E7" w:rsidRPr="00FA3CC5" w:rsidRDefault="003675E7" w:rsidP="00D808B4">
            <w:r w:rsidRPr="00FA3CC5">
              <w:t>Outbound lit? Column indicates if flyby is lit outbound (light yellow) or unlit (grey)</w:t>
            </w:r>
          </w:p>
        </w:tc>
      </w:tr>
      <w:tr w:rsidR="003675E7" w:rsidRPr="00FA3CC5" w14:paraId="01D94941" w14:textId="77777777" w:rsidTr="003675E7">
        <w:tc>
          <w:tcPr>
            <w:tcW w:w="468" w:type="dxa"/>
          </w:tcPr>
          <w:p w14:paraId="3007BC19" w14:textId="77777777" w:rsidR="003675E7" w:rsidRPr="00FA3CC5" w:rsidRDefault="003675E7" w:rsidP="00D808B4"/>
        </w:tc>
        <w:tc>
          <w:tcPr>
            <w:tcW w:w="2430" w:type="dxa"/>
          </w:tcPr>
          <w:p w14:paraId="2C088DF9" w14:textId="254A5766" w:rsidR="003675E7" w:rsidRPr="00FA3CC5" w:rsidRDefault="003675E7" w:rsidP="00D808B4">
            <w:r w:rsidRPr="00FA3CC5">
              <w:t>In/Out</w:t>
            </w:r>
          </w:p>
        </w:tc>
        <w:tc>
          <w:tcPr>
            <w:tcW w:w="6660" w:type="dxa"/>
          </w:tcPr>
          <w:p w14:paraId="5F3B5283" w14:textId="77777777" w:rsidR="003675E7" w:rsidRPr="00FA3CC5" w:rsidRDefault="003675E7" w:rsidP="00D808B4">
            <w:r w:rsidRPr="00FA3CC5">
              <w:t xml:space="preserve">In for flybys that occur inbound to </w:t>
            </w:r>
            <w:proofErr w:type="spellStart"/>
            <w:r w:rsidRPr="00FA3CC5">
              <w:t>periapse</w:t>
            </w:r>
            <w:proofErr w:type="spellEnd"/>
            <w:proofErr w:type="gramStart"/>
            <w:r w:rsidRPr="00FA3CC5">
              <w:t>;</w:t>
            </w:r>
            <w:proofErr w:type="gramEnd"/>
            <w:r w:rsidRPr="00FA3CC5">
              <w:t xml:space="preserve"> Out for flybys that occur outbound from </w:t>
            </w:r>
            <w:proofErr w:type="spellStart"/>
            <w:r w:rsidRPr="00FA3CC5">
              <w:t>periapse</w:t>
            </w:r>
            <w:proofErr w:type="spellEnd"/>
            <w:r w:rsidRPr="00FA3CC5">
              <w:t xml:space="preserve">. </w:t>
            </w:r>
          </w:p>
        </w:tc>
      </w:tr>
      <w:tr w:rsidR="003675E7" w:rsidRPr="00FA3CC5" w14:paraId="27879816" w14:textId="77777777" w:rsidTr="003675E7">
        <w:tc>
          <w:tcPr>
            <w:tcW w:w="468" w:type="dxa"/>
          </w:tcPr>
          <w:p w14:paraId="135BC94D" w14:textId="77777777" w:rsidR="003675E7" w:rsidRPr="00FA3CC5" w:rsidRDefault="003675E7" w:rsidP="00D808B4"/>
        </w:tc>
        <w:tc>
          <w:tcPr>
            <w:tcW w:w="2430" w:type="dxa"/>
          </w:tcPr>
          <w:p w14:paraId="07DBF80A" w14:textId="33C7CEF8" w:rsidR="003675E7" w:rsidRPr="00FA3CC5" w:rsidRDefault="003675E7" w:rsidP="00D808B4">
            <w:proofErr w:type="spellStart"/>
            <w:r w:rsidRPr="00FA3CC5">
              <w:t>Occ</w:t>
            </w:r>
            <w:proofErr w:type="spellEnd"/>
          </w:p>
        </w:tc>
        <w:tc>
          <w:tcPr>
            <w:tcW w:w="6660" w:type="dxa"/>
          </w:tcPr>
          <w:p w14:paraId="1CC75EAB" w14:textId="77777777" w:rsidR="003675E7" w:rsidRPr="00FA3CC5" w:rsidRDefault="003675E7" w:rsidP="00D808B4">
            <w:r w:rsidRPr="00FA3CC5">
              <w:t xml:space="preserve">Indicates if there was an occultation observation.  Pink background with a “U” for UVIS stellar </w:t>
            </w:r>
            <w:proofErr w:type="spellStart"/>
            <w:r w:rsidRPr="00FA3CC5">
              <w:t>occultations</w:t>
            </w:r>
            <w:proofErr w:type="spellEnd"/>
            <w:r w:rsidRPr="00FA3CC5">
              <w:t xml:space="preserve">; yellow background with a V for VIMS solar </w:t>
            </w:r>
            <w:proofErr w:type="spellStart"/>
            <w:r w:rsidRPr="00FA3CC5">
              <w:t>occultations</w:t>
            </w:r>
            <w:proofErr w:type="spellEnd"/>
            <w:r w:rsidRPr="00FA3CC5">
              <w:t xml:space="preserve">; UV for stellar and solar </w:t>
            </w:r>
            <w:proofErr w:type="spellStart"/>
            <w:r w:rsidRPr="00FA3CC5">
              <w:t>occultations</w:t>
            </w:r>
            <w:proofErr w:type="spellEnd"/>
            <w:r w:rsidRPr="00FA3CC5">
              <w:t>; blue background with an R for an RSS Earth occultation.</w:t>
            </w:r>
          </w:p>
        </w:tc>
      </w:tr>
      <w:tr w:rsidR="003675E7" w:rsidRPr="00FA3CC5" w14:paraId="539FE953" w14:textId="77777777" w:rsidTr="003675E7">
        <w:tc>
          <w:tcPr>
            <w:tcW w:w="468" w:type="dxa"/>
          </w:tcPr>
          <w:p w14:paraId="7C1948CC" w14:textId="77777777" w:rsidR="003675E7" w:rsidRPr="00FA3CC5" w:rsidRDefault="003675E7" w:rsidP="00D808B4"/>
        </w:tc>
        <w:tc>
          <w:tcPr>
            <w:tcW w:w="2430" w:type="dxa"/>
          </w:tcPr>
          <w:p w14:paraId="17E243A6" w14:textId="43465435" w:rsidR="003675E7" w:rsidRPr="00FA3CC5" w:rsidRDefault="003675E7" w:rsidP="00D808B4">
            <w:r w:rsidRPr="00FA3CC5">
              <w:t>LST Dec-</w:t>
            </w:r>
            <w:proofErr w:type="spellStart"/>
            <w:r w:rsidRPr="00FA3CC5">
              <w:t>Hr</w:t>
            </w:r>
            <w:proofErr w:type="spellEnd"/>
          </w:p>
        </w:tc>
        <w:tc>
          <w:tcPr>
            <w:tcW w:w="6660" w:type="dxa"/>
          </w:tcPr>
          <w:p w14:paraId="5E49E340" w14:textId="77777777" w:rsidR="003675E7" w:rsidRPr="00FA3CC5" w:rsidRDefault="003675E7" w:rsidP="00D808B4">
            <w:r w:rsidRPr="00FA3CC5">
              <w:t xml:space="preserve">Local </w:t>
            </w:r>
            <w:proofErr w:type="spellStart"/>
            <w:r w:rsidRPr="00FA3CC5">
              <w:t>Saturnian</w:t>
            </w:r>
            <w:proofErr w:type="spellEnd"/>
            <w:r w:rsidRPr="00FA3CC5">
              <w:t xml:space="preserve"> Time. Position of Titan at c/a relative to Saturn time.  0 corresponds to noon, 12 to midnight. </w:t>
            </w:r>
          </w:p>
        </w:tc>
      </w:tr>
      <w:tr w:rsidR="003675E7" w:rsidRPr="00FA3CC5" w14:paraId="03DBB274" w14:textId="77777777" w:rsidTr="003675E7">
        <w:tc>
          <w:tcPr>
            <w:tcW w:w="468" w:type="dxa"/>
          </w:tcPr>
          <w:p w14:paraId="40E5A00D" w14:textId="77777777" w:rsidR="003675E7" w:rsidRPr="00FA3CC5" w:rsidRDefault="003675E7" w:rsidP="00D808B4"/>
        </w:tc>
        <w:tc>
          <w:tcPr>
            <w:tcW w:w="2430" w:type="dxa"/>
          </w:tcPr>
          <w:p w14:paraId="38C6F9DB" w14:textId="710AA840" w:rsidR="003675E7" w:rsidRPr="00FA3CC5" w:rsidRDefault="003675E7" w:rsidP="00D808B4">
            <w:r w:rsidRPr="00FA3CC5">
              <w:t xml:space="preserve">Dual </w:t>
            </w:r>
            <w:proofErr w:type="spellStart"/>
            <w:r w:rsidRPr="00FA3CC5">
              <w:t>pb</w:t>
            </w:r>
            <w:proofErr w:type="spellEnd"/>
            <w:r w:rsidRPr="00FA3CC5">
              <w:t>?</w:t>
            </w:r>
          </w:p>
        </w:tc>
        <w:tc>
          <w:tcPr>
            <w:tcW w:w="6660" w:type="dxa"/>
          </w:tcPr>
          <w:p w14:paraId="446C2531" w14:textId="77777777" w:rsidR="003675E7" w:rsidRPr="00FA3CC5" w:rsidRDefault="003675E7" w:rsidP="00D808B4">
            <w:proofErr w:type="gramStart"/>
            <w:r w:rsidRPr="00FA3CC5">
              <w:t>blue</w:t>
            </w:r>
            <w:proofErr w:type="gramEnd"/>
            <w:r w:rsidRPr="00FA3CC5">
              <w:t xml:space="preserve"> background shows that a dual playback of a subset of data on the flyby (generally but not always near c/a) was downlinked to Earth twice. In some cases, the dual playback did not work correctly, either from a sequencing error or because DSN negotiations did not support the second data playback opportunity (no station received the data); these explanations are indicated in text to the right of the “altitude” column.</w:t>
            </w:r>
          </w:p>
        </w:tc>
      </w:tr>
      <w:tr w:rsidR="003675E7" w:rsidRPr="00FA3CC5" w14:paraId="7599A396" w14:textId="77777777" w:rsidTr="003675E7">
        <w:tc>
          <w:tcPr>
            <w:tcW w:w="468" w:type="dxa"/>
          </w:tcPr>
          <w:p w14:paraId="7E9991F2" w14:textId="77777777" w:rsidR="003675E7" w:rsidRPr="00FA3CC5" w:rsidRDefault="003675E7" w:rsidP="00D808B4"/>
        </w:tc>
        <w:tc>
          <w:tcPr>
            <w:tcW w:w="2430" w:type="dxa"/>
          </w:tcPr>
          <w:p w14:paraId="1E59C3F7" w14:textId="4439F5DA" w:rsidR="003675E7" w:rsidRPr="00FA3CC5" w:rsidRDefault="003675E7" w:rsidP="00D808B4">
            <w:r w:rsidRPr="00FA3CC5">
              <w:t>C/A LAT/LON</w:t>
            </w:r>
          </w:p>
        </w:tc>
        <w:tc>
          <w:tcPr>
            <w:tcW w:w="6660" w:type="dxa"/>
          </w:tcPr>
          <w:p w14:paraId="74BF9A91" w14:textId="77777777" w:rsidR="003675E7" w:rsidRPr="00FA3CC5" w:rsidRDefault="003675E7" w:rsidP="00D808B4">
            <w:r w:rsidRPr="00FA3CC5">
              <w:t xml:space="preserve">Latitude and longitude of the nadir point at c/a. Color background of the longitude indicates the location of the spacecraft at c/a in Titan’s hypothetical magnetosphere. Red for nose, blue/yellow for flank out/in green for wake.  </w:t>
            </w:r>
          </w:p>
        </w:tc>
      </w:tr>
      <w:tr w:rsidR="003675E7" w:rsidRPr="00FA3CC5" w14:paraId="1002D49E" w14:textId="77777777" w:rsidTr="003675E7">
        <w:tc>
          <w:tcPr>
            <w:tcW w:w="468" w:type="dxa"/>
          </w:tcPr>
          <w:p w14:paraId="3FC633A2" w14:textId="77777777" w:rsidR="003675E7" w:rsidRPr="00FA3CC5" w:rsidRDefault="003675E7" w:rsidP="00D808B4"/>
        </w:tc>
        <w:tc>
          <w:tcPr>
            <w:tcW w:w="2430" w:type="dxa"/>
          </w:tcPr>
          <w:p w14:paraId="22259586" w14:textId="6480E460" w:rsidR="003675E7" w:rsidRPr="00FA3CC5" w:rsidRDefault="003675E7" w:rsidP="00D808B4">
            <w:r w:rsidRPr="00FA3CC5">
              <w:t>Phase @ C/A</w:t>
            </w:r>
          </w:p>
        </w:tc>
        <w:tc>
          <w:tcPr>
            <w:tcW w:w="6660" w:type="dxa"/>
          </w:tcPr>
          <w:p w14:paraId="16E5FC0A" w14:textId="77777777" w:rsidR="003675E7" w:rsidRPr="00FA3CC5" w:rsidRDefault="003675E7" w:rsidP="00D808B4">
            <w:proofErr w:type="gramStart"/>
            <w:r w:rsidRPr="00FA3CC5">
              <w:t>phase</w:t>
            </w:r>
            <w:proofErr w:type="gramEnd"/>
            <w:r w:rsidRPr="00FA3CC5">
              <w:t xml:space="preserve"> angle relative to the Sun to indicate illumination (full-on Sun is 0 degrees; midnight is 180 degrees)</w:t>
            </w:r>
          </w:p>
        </w:tc>
      </w:tr>
    </w:tbl>
    <w:p w14:paraId="57A0D481" w14:textId="77777777" w:rsidR="00474B7C" w:rsidRDefault="00474B7C"/>
    <w:p w14:paraId="50053BF4" w14:textId="77777777" w:rsidR="00474B7C" w:rsidRDefault="00474B7C"/>
    <w:tbl>
      <w:tblPr>
        <w:tblStyle w:val="TableGrid"/>
        <w:tblW w:w="9558" w:type="dxa"/>
        <w:tblLook w:val="04A0" w:firstRow="1" w:lastRow="0" w:firstColumn="1" w:lastColumn="0" w:noHBand="0" w:noVBand="1"/>
      </w:tblPr>
      <w:tblGrid>
        <w:gridCol w:w="468"/>
        <w:gridCol w:w="2430"/>
        <w:gridCol w:w="6660"/>
      </w:tblGrid>
      <w:tr w:rsidR="00D80898" w:rsidRPr="00FA3CC5" w14:paraId="005F0072" w14:textId="77777777" w:rsidTr="00EF74E4">
        <w:tc>
          <w:tcPr>
            <w:tcW w:w="9558" w:type="dxa"/>
            <w:gridSpan w:val="3"/>
          </w:tcPr>
          <w:p w14:paraId="018C59D5" w14:textId="3C8A1FB3" w:rsidR="00D80898" w:rsidRPr="00FA3CC5" w:rsidRDefault="00D80898" w:rsidP="00D80898">
            <w:pPr>
              <w:jc w:val="center"/>
            </w:pPr>
            <w:r>
              <w:t>Flyby Timeline Legend</w:t>
            </w:r>
          </w:p>
        </w:tc>
      </w:tr>
      <w:tr w:rsidR="00474B7C" w:rsidRPr="00FA3CC5" w14:paraId="4D9F7980" w14:textId="77777777" w:rsidTr="003675E7">
        <w:tc>
          <w:tcPr>
            <w:tcW w:w="468" w:type="dxa"/>
          </w:tcPr>
          <w:p w14:paraId="10A83BAA" w14:textId="77777777" w:rsidR="00474B7C" w:rsidRPr="00FA3CC5" w:rsidRDefault="00474B7C" w:rsidP="00D808B4"/>
        </w:tc>
        <w:tc>
          <w:tcPr>
            <w:tcW w:w="2430" w:type="dxa"/>
          </w:tcPr>
          <w:p w14:paraId="21059F4F" w14:textId="77777777" w:rsidR="00474B7C" w:rsidRPr="00FA3CC5" w:rsidRDefault="00474B7C" w:rsidP="00D808B4"/>
        </w:tc>
        <w:tc>
          <w:tcPr>
            <w:tcW w:w="6660" w:type="dxa"/>
          </w:tcPr>
          <w:p w14:paraId="6FBD562A" w14:textId="77777777" w:rsidR="00474B7C" w:rsidRPr="00FA3CC5" w:rsidRDefault="00474B7C" w:rsidP="00D808B4"/>
        </w:tc>
      </w:tr>
      <w:tr w:rsidR="003675E7" w:rsidRPr="00FA3CC5" w14:paraId="522AC157" w14:textId="77777777" w:rsidTr="003675E7">
        <w:tc>
          <w:tcPr>
            <w:tcW w:w="468" w:type="dxa"/>
          </w:tcPr>
          <w:p w14:paraId="6A64889B" w14:textId="77777777" w:rsidR="003675E7" w:rsidRPr="00FA3CC5" w:rsidRDefault="003675E7" w:rsidP="00D808B4"/>
        </w:tc>
        <w:tc>
          <w:tcPr>
            <w:tcW w:w="2430" w:type="dxa"/>
          </w:tcPr>
          <w:p w14:paraId="57A361BA" w14:textId="31B791E3" w:rsidR="003675E7" w:rsidRPr="00FA3CC5" w:rsidRDefault="003675E7" w:rsidP="00D808B4">
            <w:r w:rsidRPr="00FA3CC5">
              <w:t>Colored Horizontal bars</w:t>
            </w:r>
          </w:p>
        </w:tc>
        <w:tc>
          <w:tcPr>
            <w:tcW w:w="6660" w:type="dxa"/>
          </w:tcPr>
          <w:p w14:paraId="31E8FC7B" w14:textId="7D277852" w:rsidR="003675E7" w:rsidRPr="00FA3CC5" w:rsidRDefault="003675E7" w:rsidP="00D808B4">
            <w:r w:rsidRPr="00FA3CC5">
              <w:t xml:space="preserve"> </w:t>
            </w:r>
            <w:proofErr w:type="gramStart"/>
            <w:r w:rsidRPr="00FA3CC5">
              <w:t>indicate</w:t>
            </w:r>
            <w:proofErr w:type="gramEnd"/>
            <w:r w:rsidRPr="00FA3CC5">
              <w:t xml:space="preserve"> which instrument had pointing control of the spacecraft at that time. Color scheme follows</w:t>
            </w:r>
            <w:r w:rsidR="00D80898">
              <w:t>.</w:t>
            </w:r>
          </w:p>
        </w:tc>
      </w:tr>
      <w:tr w:rsidR="003675E7" w:rsidRPr="00FA3CC5" w14:paraId="0D2DDE50" w14:textId="77777777" w:rsidTr="003675E7">
        <w:tc>
          <w:tcPr>
            <w:tcW w:w="468" w:type="dxa"/>
          </w:tcPr>
          <w:p w14:paraId="0CE99F0E" w14:textId="77777777" w:rsidR="003675E7" w:rsidRPr="00FA3CC5" w:rsidRDefault="003675E7" w:rsidP="00D808B4"/>
        </w:tc>
        <w:tc>
          <w:tcPr>
            <w:tcW w:w="2430" w:type="dxa"/>
          </w:tcPr>
          <w:p w14:paraId="4D480B75" w14:textId="2DD985AA" w:rsidR="003675E7" w:rsidRPr="00FA3CC5" w:rsidRDefault="003675E7" w:rsidP="00D808B4">
            <w:r w:rsidRPr="00FA3CC5">
              <w:t>Pink</w:t>
            </w:r>
          </w:p>
        </w:tc>
        <w:tc>
          <w:tcPr>
            <w:tcW w:w="6660" w:type="dxa"/>
          </w:tcPr>
          <w:p w14:paraId="5FEC7413" w14:textId="77777777" w:rsidR="003675E7" w:rsidRPr="00FA3CC5" w:rsidRDefault="003675E7" w:rsidP="00D808B4">
            <w:r w:rsidRPr="00FA3CC5">
              <w:t>CIRS</w:t>
            </w:r>
          </w:p>
        </w:tc>
      </w:tr>
      <w:tr w:rsidR="003675E7" w:rsidRPr="00FA3CC5" w14:paraId="1B8C81CB" w14:textId="77777777" w:rsidTr="003675E7">
        <w:tc>
          <w:tcPr>
            <w:tcW w:w="468" w:type="dxa"/>
          </w:tcPr>
          <w:p w14:paraId="62982218" w14:textId="77777777" w:rsidR="003675E7" w:rsidRPr="00FA3CC5" w:rsidRDefault="003675E7" w:rsidP="00D808B4"/>
        </w:tc>
        <w:tc>
          <w:tcPr>
            <w:tcW w:w="2430" w:type="dxa"/>
          </w:tcPr>
          <w:p w14:paraId="33B65BA2" w14:textId="79879CD2" w:rsidR="003675E7" w:rsidRPr="00FA3CC5" w:rsidRDefault="003675E7" w:rsidP="00D808B4">
            <w:r w:rsidRPr="00FA3CC5">
              <w:t>Yellow</w:t>
            </w:r>
          </w:p>
        </w:tc>
        <w:tc>
          <w:tcPr>
            <w:tcW w:w="6660" w:type="dxa"/>
          </w:tcPr>
          <w:p w14:paraId="75E63502" w14:textId="77777777" w:rsidR="003675E7" w:rsidRPr="00FA3CC5" w:rsidRDefault="003675E7" w:rsidP="00D808B4">
            <w:r w:rsidRPr="00FA3CC5">
              <w:t>VIMS</w:t>
            </w:r>
          </w:p>
        </w:tc>
      </w:tr>
      <w:tr w:rsidR="003675E7" w:rsidRPr="00FA3CC5" w14:paraId="29F39A4B" w14:textId="77777777" w:rsidTr="003675E7">
        <w:tc>
          <w:tcPr>
            <w:tcW w:w="468" w:type="dxa"/>
          </w:tcPr>
          <w:p w14:paraId="7971DD2B" w14:textId="77777777" w:rsidR="003675E7" w:rsidRPr="00FA3CC5" w:rsidRDefault="003675E7" w:rsidP="00D808B4"/>
        </w:tc>
        <w:tc>
          <w:tcPr>
            <w:tcW w:w="2430" w:type="dxa"/>
          </w:tcPr>
          <w:p w14:paraId="785C0A28" w14:textId="0160CBAA" w:rsidR="003675E7" w:rsidRPr="00FA3CC5" w:rsidRDefault="003675E7" w:rsidP="00D808B4">
            <w:r w:rsidRPr="00FA3CC5">
              <w:t>Purple</w:t>
            </w:r>
          </w:p>
        </w:tc>
        <w:tc>
          <w:tcPr>
            <w:tcW w:w="6660" w:type="dxa"/>
          </w:tcPr>
          <w:p w14:paraId="7DFE9052" w14:textId="3FFBDCB4" w:rsidR="003675E7" w:rsidRPr="00FA3CC5" w:rsidRDefault="003675E7" w:rsidP="00D808B4">
            <w:r w:rsidRPr="00FA3CC5">
              <w:t>Science Planning (generally downlink periods)</w:t>
            </w:r>
            <w:r>
              <w:t>. If labeled with C/G/M70, refers to location of DSN station used for downlink (Canberra, Goldstone, Madrid)</w:t>
            </w:r>
          </w:p>
        </w:tc>
      </w:tr>
      <w:tr w:rsidR="003675E7" w:rsidRPr="00FA3CC5" w14:paraId="480F5844" w14:textId="77777777" w:rsidTr="003675E7">
        <w:tc>
          <w:tcPr>
            <w:tcW w:w="468" w:type="dxa"/>
          </w:tcPr>
          <w:p w14:paraId="232A3B93" w14:textId="77777777" w:rsidR="003675E7" w:rsidRPr="00FA3CC5" w:rsidRDefault="003675E7" w:rsidP="00D808B4"/>
        </w:tc>
        <w:tc>
          <w:tcPr>
            <w:tcW w:w="2430" w:type="dxa"/>
          </w:tcPr>
          <w:p w14:paraId="0172F682" w14:textId="203EC577" w:rsidR="003675E7" w:rsidRPr="00FA3CC5" w:rsidRDefault="003675E7" w:rsidP="00D808B4">
            <w:r w:rsidRPr="00FA3CC5">
              <w:t>Grey</w:t>
            </w:r>
          </w:p>
        </w:tc>
        <w:tc>
          <w:tcPr>
            <w:tcW w:w="6660" w:type="dxa"/>
          </w:tcPr>
          <w:p w14:paraId="326782BD" w14:textId="77777777" w:rsidR="003675E7" w:rsidRPr="00FA3CC5" w:rsidRDefault="003675E7" w:rsidP="00D808B4">
            <w:r w:rsidRPr="00FA3CC5">
              <w:t>ISS</w:t>
            </w:r>
          </w:p>
        </w:tc>
      </w:tr>
      <w:tr w:rsidR="003675E7" w:rsidRPr="00FA3CC5" w14:paraId="6EA1C3DA" w14:textId="77777777" w:rsidTr="003675E7">
        <w:tc>
          <w:tcPr>
            <w:tcW w:w="468" w:type="dxa"/>
          </w:tcPr>
          <w:p w14:paraId="723B5390" w14:textId="77777777" w:rsidR="003675E7" w:rsidRPr="00FA3CC5" w:rsidRDefault="003675E7" w:rsidP="00D808B4"/>
        </w:tc>
        <w:tc>
          <w:tcPr>
            <w:tcW w:w="2430" w:type="dxa"/>
          </w:tcPr>
          <w:p w14:paraId="0FB9F240" w14:textId="263C4BF9" w:rsidR="003675E7" w:rsidRPr="00FA3CC5" w:rsidRDefault="003675E7" w:rsidP="00D808B4">
            <w:r w:rsidRPr="00FA3CC5">
              <w:t>Light Green</w:t>
            </w:r>
          </w:p>
        </w:tc>
        <w:tc>
          <w:tcPr>
            <w:tcW w:w="6660" w:type="dxa"/>
          </w:tcPr>
          <w:p w14:paraId="6B8F2C42" w14:textId="77777777" w:rsidR="003675E7" w:rsidRPr="00FA3CC5" w:rsidRDefault="003675E7" w:rsidP="00D808B4">
            <w:r w:rsidRPr="00FA3CC5">
              <w:t>CAPS (CAPS time reallocated after instrument was turned off; indicated in text to the right of the altitude column)</w:t>
            </w:r>
          </w:p>
        </w:tc>
      </w:tr>
      <w:tr w:rsidR="003675E7" w:rsidRPr="00FA3CC5" w14:paraId="73FF699D" w14:textId="77777777" w:rsidTr="003675E7">
        <w:tc>
          <w:tcPr>
            <w:tcW w:w="468" w:type="dxa"/>
          </w:tcPr>
          <w:p w14:paraId="03276142" w14:textId="77777777" w:rsidR="003675E7" w:rsidRPr="00FA3CC5" w:rsidRDefault="003675E7" w:rsidP="00D808B4"/>
        </w:tc>
        <w:tc>
          <w:tcPr>
            <w:tcW w:w="2430" w:type="dxa"/>
          </w:tcPr>
          <w:p w14:paraId="4EE38758" w14:textId="6901BFC9" w:rsidR="003675E7" w:rsidRPr="00FA3CC5" w:rsidRDefault="003675E7" w:rsidP="00D808B4">
            <w:r w:rsidRPr="00FA3CC5">
              <w:t>Dark Green</w:t>
            </w:r>
          </w:p>
        </w:tc>
        <w:tc>
          <w:tcPr>
            <w:tcW w:w="6660" w:type="dxa"/>
          </w:tcPr>
          <w:p w14:paraId="09CC0C45" w14:textId="77777777" w:rsidR="003675E7" w:rsidRPr="00FA3CC5" w:rsidRDefault="003675E7" w:rsidP="00D808B4">
            <w:r w:rsidRPr="00FA3CC5">
              <w:t>UVIS</w:t>
            </w:r>
          </w:p>
        </w:tc>
      </w:tr>
      <w:tr w:rsidR="003675E7" w:rsidRPr="00FA3CC5" w14:paraId="32138C80" w14:textId="77777777" w:rsidTr="003675E7">
        <w:tc>
          <w:tcPr>
            <w:tcW w:w="468" w:type="dxa"/>
          </w:tcPr>
          <w:p w14:paraId="377EE0BD" w14:textId="77777777" w:rsidR="003675E7" w:rsidRPr="00FA3CC5" w:rsidRDefault="003675E7" w:rsidP="00D808B4"/>
        </w:tc>
        <w:tc>
          <w:tcPr>
            <w:tcW w:w="2430" w:type="dxa"/>
          </w:tcPr>
          <w:p w14:paraId="28838EDE" w14:textId="18CACF49" w:rsidR="003675E7" w:rsidRPr="00FA3CC5" w:rsidRDefault="003675E7" w:rsidP="00D808B4">
            <w:r w:rsidRPr="00FA3CC5">
              <w:t>Light Blue</w:t>
            </w:r>
          </w:p>
        </w:tc>
        <w:tc>
          <w:tcPr>
            <w:tcW w:w="6660" w:type="dxa"/>
          </w:tcPr>
          <w:p w14:paraId="5A0CA49A" w14:textId="77777777" w:rsidR="003675E7" w:rsidRPr="00FA3CC5" w:rsidRDefault="003675E7" w:rsidP="00D808B4">
            <w:r w:rsidRPr="00FA3CC5">
              <w:t>RSS</w:t>
            </w:r>
          </w:p>
        </w:tc>
      </w:tr>
      <w:tr w:rsidR="003675E7" w:rsidRPr="00FA3CC5" w14:paraId="4A3F9985" w14:textId="77777777" w:rsidTr="003675E7">
        <w:tc>
          <w:tcPr>
            <w:tcW w:w="468" w:type="dxa"/>
          </w:tcPr>
          <w:p w14:paraId="739ADC2B" w14:textId="77777777" w:rsidR="003675E7" w:rsidRPr="00FA3CC5" w:rsidRDefault="003675E7" w:rsidP="00D808B4"/>
        </w:tc>
        <w:tc>
          <w:tcPr>
            <w:tcW w:w="2430" w:type="dxa"/>
          </w:tcPr>
          <w:p w14:paraId="3301DB33" w14:textId="19808C80" w:rsidR="003675E7" w:rsidRPr="00FA3CC5" w:rsidRDefault="003675E7" w:rsidP="00D808B4">
            <w:r w:rsidRPr="00FA3CC5">
              <w:t>Goldenrod</w:t>
            </w:r>
          </w:p>
        </w:tc>
        <w:tc>
          <w:tcPr>
            <w:tcW w:w="6660" w:type="dxa"/>
          </w:tcPr>
          <w:p w14:paraId="6942FF0E" w14:textId="77777777" w:rsidR="003675E7" w:rsidRPr="00FA3CC5" w:rsidRDefault="003675E7" w:rsidP="00D808B4">
            <w:r w:rsidRPr="00FA3CC5">
              <w:t>RADAR</w:t>
            </w:r>
          </w:p>
        </w:tc>
      </w:tr>
      <w:tr w:rsidR="003675E7" w:rsidRPr="00FA3CC5" w14:paraId="43325AF6" w14:textId="77777777" w:rsidTr="003675E7">
        <w:tc>
          <w:tcPr>
            <w:tcW w:w="468" w:type="dxa"/>
          </w:tcPr>
          <w:p w14:paraId="10F3FA2E" w14:textId="77777777" w:rsidR="003675E7" w:rsidRPr="00FA3CC5" w:rsidRDefault="003675E7" w:rsidP="00D808B4"/>
        </w:tc>
        <w:tc>
          <w:tcPr>
            <w:tcW w:w="2430" w:type="dxa"/>
          </w:tcPr>
          <w:p w14:paraId="04F17091" w14:textId="16FD5D60" w:rsidR="003675E7" w:rsidRPr="00FA3CC5" w:rsidRDefault="003675E7" w:rsidP="00D808B4">
            <w:r w:rsidRPr="00FA3CC5">
              <w:t>Brown</w:t>
            </w:r>
          </w:p>
        </w:tc>
        <w:tc>
          <w:tcPr>
            <w:tcW w:w="6660" w:type="dxa"/>
          </w:tcPr>
          <w:p w14:paraId="3D7817B5" w14:textId="77777777" w:rsidR="003675E7" w:rsidRPr="00FA3CC5" w:rsidRDefault="003675E7" w:rsidP="00D808B4">
            <w:r w:rsidRPr="00FA3CC5">
              <w:t>INMS</w:t>
            </w:r>
          </w:p>
        </w:tc>
      </w:tr>
      <w:tr w:rsidR="003675E7" w:rsidRPr="00FA3CC5" w14:paraId="69DE43F4" w14:textId="77777777" w:rsidTr="003675E7">
        <w:tc>
          <w:tcPr>
            <w:tcW w:w="468" w:type="dxa"/>
          </w:tcPr>
          <w:p w14:paraId="4DD27165" w14:textId="77777777" w:rsidR="003675E7" w:rsidRPr="00FA3CC5" w:rsidRDefault="003675E7" w:rsidP="00D808B4"/>
        </w:tc>
        <w:tc>
          <w:tcPr>
            <w:tcW w:w="2430" w:type="dxa"/>
          </w:tcPr>
          <w:p w14:paraId="7DD871E5" w14:textId="7AD16311" w:rsidR="003675E7" w:rsidRPr="00FA3CC5" w:rsidRDefault="003675E7" w:rsidP="00D808B4">
            <w:r w:rsidRPr="00FA3CC5">
              <w:t>Dark Blue</w:t>
            </w:r>
          </w:p>
        </w:tc>
        <w:tc>
          <w:tcPr>
            <w:tcW w:w="6660" w:type="dxa"/>
          </w:tcPr>
          <w:p w14:paraId="739658EC" w14:textId="77777777" w:rsidR="003675E7" w:rsidRPr="00FA3CC5" w:rsidRDefault="003675E7" w:rsidP="00D808B4">
            <w:r w:rsidRPr="00FA3CC5">
              <w:t>Navigation team</w:t>
            </w:r>
          </w:p>
        </w:tc>
      </w:tr>
      <w:tr w:rsidR="003675E7" w:rsidRPr="00FA3CC5" w14:paraId="0633A285" w14:textId="77777777" w:rsidTr="003675E7">
        <w:tc>
          <w:tcPr>
            <w:tcW w:w="468" w:type="dxa"/>
          </w:tcPr>
          <w:p w14:paraId="637AEB25" w14:textId="77777777" w:rsidR="003675E7" w:rsidRPr="00FA3CC5" w:rsidRDefault="003675E7" w:rsidP="00D808B4"/>
        </w:tc>
        <w:tc>
          <w:tcPr>
            <w:tcW w:w="2430" w:type="dxa"/>
          </w:tcPr>
          <w:p w14:paraId="0EE1C8FA" w14:textId="1D551107" w:rsidR="003675E7" w:rsidRPr="00FA3CC5" w:rsidRDefault="003675E7" w:rsidP="00D808B4">
            <w:r w:rsidRPr="00FA3CC5">
              <w:t>Red</w:t>
            </w:r>
          </w:p>
        </w:tc>
        <w:tc>
          <w:tcPr>
            <w:tcW w:w="6660" w:type="dxa"/>
          </w:tcPr>
          <w:p w14:paraId="06E7D06D" w14:textId="77777777" w:rsidR="003675E7" w:rsidRPr="00FA3CC5" w:rsidRDefault="003675E7" w:rsidP="00D808B4">
            <w:r w:rsidRPr="00FA3CC5">
              <w:t xml:space="preserve">Non-Titan discipline pre-integrated event (PIE), e.g. a Rings discipline PIE. </w:t>
            </w:r>
          </w:p>
        </w:tc>
      </w:tr>
      <w:tr w:rsidR="003675E7" w:rsidRPr="00FA3CC5" w14:paraId="72FE8A84" w14:textId="77777777" w:rsidTr="003675E7">
        <w:tc>
          <w:tcPr>
            <w:tcW w:w="468" w:type="dxa"/>
          </w:tcPr>
          <w:p w14:paraId="5D2FFF88" w14:textId="77777777" w:rsidR="003675E7" w:rsidRPr="00FA3CC5" w:rsidRDefault="003675E7" w:rsidP="00D808B4"/>
        </w:tc>
        <w:tc>
          <w:tcPr>
            <w:tcW w:w="2430" w:type="dxa"/>
          </w:tcPr>
          <w:p w14:paraId="05EE6F48" w14:textId="7D9BCDB8" w:rsidR="003675E7" w:rsidRPr="00FA3CC5" w:rsidRDefault="003675E7" w:rsidP="00D808B4">
            <w:r w:rsidRPr="00FA3CC5">
              <w:t>Vertical hash marks</w:t>
            </w:r>
          </w:p>
        </w:tc>
        <w:tc>
          <w:tcPr>
            <w:tcW w:w="6660" w:type="dxa"/>
          </w:tcPr>
          <w:p w14:paraId="272FE204" w14:textId="77777777" w:rsidR="003675E7" w:rsidRPr="00FA3CC5" w:rsidRDefault="003675E7" w:rsidP="00D808B4">
            <w:proofErr w:type="gramStart"/>
            <w:r w:rsidRPr="00FA3CC5">
              <w:t>indicate</w:t>
            </w:r>
            <w:proofErr w:type="gramEnd"/>
            <w:r w:rsidRPr="00FA3CC5">
              <w:t xml:space="preserve"> that the data for that observation was lost. </w:t>
            </w:r>
          </w:p>
        </w:tc>
      </w:tr>
      <w:tr w:rsidR="003675E7" w:rsidRPr="00FA3CC5" w14:paraId="7254DE6E" w14:textId="77777777" w:rsidTr="003675E7">
        <w:tc>
          <w:tcPr>
            <w:tcW w:w="468" w:type="dxa"/>
          </w:tcPr>
          <w:p w14:paraId="4277CA8E" w14:textId="77777777" w:rsidR="003675E7" w:rsidRPr="00FA3CC5" w:rsidRDefault="003675E7" w:rsidP="00D808B4"/>
        </w:tc>
        <w:tc>
          <w:tcPr>
            <w:tcW w:w="2430" w:type="dxa"/>
          </w:tcPr>
          <w:p w14:paraId="2A14ECB4" w14:textId="156AEFA2" w:rsidR="003675E7" w:rsidRPr="00FA3CC5" w:rsidRDefault="003675E7" w:rsidP="00D808B4">
            <w:r w:rsidRPr="00FA3CC5">
              <w:t>Happy faces</w:t>
            </w:r>
          </w:p>
        </w:tc>
        <w:tc>
          <w:tcPr>
            <w:tcW w:w="6660" w:type="dxa"/>
          </w:tcPr>
          <w:p w14:paraId="7FC98DE1" w14:textId="145EA7ED" w:rsidR="003675E7" w:rsidRPr="00FA3CC5" w:rsidRDefault="003675E7" w:rsidP="00D808B4">
            <w:r w:rsidRPr="00FA3CC5">
              <w:t xml:space="preserve"> </w:t>
            </w:r>
            <w:proofErr w:type="gramStart"/>
            <w:r w:rsidRPr="00FA3CC5">
              <w:t>immediately</w:t>
            </w:r>
            <w:proofErr w:type="gramEnd"/>
            <w:r w:rsidRPr="00FA3CC5">
              <w:t xml:space="preserve"> to the right of the Altitude column indicates that this flyby was one of the highest science priorities for the instrument indicated by the color of the happy face. These observations were nicknamed “10-pointers”, terminology used during the Titan jumpstart for the XM (</w:t>
            </w:r>
            <w:r w:rsidR="00474B7C">
              <w:t xml:space="preserve">Extended Mission, AKA </w:t>
            </w:r>
            <w:r w:rsidRPr="00FA3CC5">
              <w:t>Equinox) and XXM (</w:t>
            </w:r>
            <w:r w:rsidR="00474B7C">
              <w:t xml:space="preserve">Extended </w:t>
            </w:r>
            <w:proofErr w:type="spellStart"/>
            <w:r w:rsidR="00474B7C">
              <w:t>Extended</w:t>
            </w:r>
            <w:proofErr w:type="spellEnd"/>
            <w:r w:rsidR="00474B7C">
              <w:t xml:space="preserve"> Mission, AKA </w:t>
            </w:r>
            <w:r w:rsidRPr="00FA3CC5">
              <w:t xml:space="preserve">Solstice) Mission.  There were up to two such high-priority 10-pointers per instrument in XXM, one per instrument in XM. </w:t>
            </w:r>
          </w:p>
        </w:tc>
      </w:tr>
      <w:tr w:rsidR="003675E7" w:rsidRPr="00FA3CC5" w14:paraId="2216B619" w14:textId="77777777" w:rsidTr="003675E7">
        <w:tc>
          <w:tcPr>
            <w:tcW w:w="468" w:type="dxa"/>
          </w:tcPr>
          <w:p w14:paraId="5DFA79DF" w14:textId="77777777" w:rsidR="003675E7" w:rsidRPr="00FA3CC5" w:rsidRDefault="003675E7" w:rsidP="00D808B4"/>
        </w:tc>
        <w:tc>
          <w:tcPr>
            <w:tcW w:w="2430" w:type="dxa"/>
          </w:tcPr>
          <w:p w14:paraId="3CE61F2B" w14:textId="08A285FA" w:rsidR="003675E7" w:rsidRPr="00FA3CC5" w:rsidRDefault="003675E7" w:rsidP="00D808B4">
            <w:r w:rsidRPr="00FA3CC5">
              <w:t>Blue train engines</w:t>
            </w:r>
          </w:p>
        </w:tc>
        <w:tc>
          <w:tcPr>
            <w:tcW w:w="6660" w:type="dxa"/>
          </w:tcPr>
          <w:p w14:paraId="63467C2D" w14:textId="20B1749D" w:rsidR="003675E7" w:rsidRPr="00FA3CC5" w:rsidRDefault="003675E7" w:rsidP="00D808B4">
            <w:proofErr w:type="gramStart"/>
            <w:r w:rsidRPr="00FA3CC5">
              <w:t>indicate</w:t>
            </w:r>
            <w:proofErr w:type="gramEnd"/>
            <w:r w:rsidRPr="00FA3CC5">
              <w:t xml:space="preserve"> an “engine” day with Titan observations (mostly ISS) taking place the day before  the usual end of a Titan flyby segment. Details of the timing are not shown on the one-pager.</w:t>
            </w:r>
          </w:p>
        </w:tc>
      </w:tr>
      <w:tr w:rsidR="003675E7" w:rsidRPr="00FA3CC5" w14:paraId="58B2D0FF" w14:textId="77777777" w:rsidTr="003675E7">
        <w:tc>
          <w:tcPr>
            <w:tcW w:w="468" w:type="dxa"/>
          </w:tcPr>
          <w:p w14:paraId="57009B9F" w14:textId="77777777" w:rsidR="003675E7" w:rsidRPr="00FA3CC5" w:rsidRDefault="003675E7" w:rsidP="00D808B4"/>
        </w:tc>
        <w:tc>
          <w:tcPr>
            <w:tcW w:w="2430" w:type="dxa"/>
          </w:tcPr>
          <w:p w14:paraId="5C549833" w14:textId="3821B871" w:rsidR="003675E7" w:rsidRPr="00FA3CC5" w:rsidRDefault="003675E7" w:rsidP="00474B7C">
            <w:r w:rsidRPr="00FA3CC5">
              <w:t xml:space="preserve">Red train cabooses </w:t>
            </w:r>
          </w:p>
        </w:tc>
        <w:tc>
          <w:tcPr>
            <w:tcW w:w="6660" w:type="dxa"/>
          </w:tcPr>
          <w:p w14:paraId="345FC26E" w14:textId="00ADA577" w:rsidR="003675E7" w:rsidRPr="00FA3CC5" w:rsidRDefault="00474B7C" w:rsidP="00D808B4">
            <w:proofErr w:type="gramStart"/>
            <w:r w:rsidRPr="00FA3CC5">
              <w:t>indicate</w:t>
            </w:r>
            <w:proofErr w:type="gramEnd"/>
            <w:r w:rsidRPr="00FA3CC5">
              <w:t xml:space="preserve"> a “caboose” day with Titan observations (mostly ISS) taking place the day after the usual end of a Titan flyby segment.  Details of the timing are not shown on the one-pager.</w:t>
            </w:r>
          </w:p>
        </w:tc>
      </w:tr>
      <w:tr w:rsidR="003675E7" w:rsidRPr="00FA3CC5" w14:paraId="5ABF75D9" w14:textId="77777777" w:rsidTr="003675E7">
        <w:tc>
          <w:tcPr>
            <w:tcW w:w="468" w:type="dxa"/>
          </w:tcPr>
          <w:p w14:paraId="53044F79" w14:textId="77777777" w:rsidR="003675E7" w:rsidRPr="00FA3CC5" w:rsidRDefault="003675E7" w:rsidP="00D808B4"/>
        </w:tc>
        <w:tc>
          <w:tcPr>
            <w:tcW w:w="2430" w:type="dxa"/>
          </w:tcPr>
          <w:p w14:paraId="5F08BB13" w14:textId="4D5F1062" w:rsidR="003675E7" w:rsidRPr="00FA3CC5" w:rsidRDefault="003675E7" w:rsidP="00D808B4">
            <w:r w:rsidRPr="00FA3CC5">
              <w:t>RSS LGA Opportunities</w:t>
            </w:r>
          </w:p>
        </w:tc>
        <w:tc>
          <w:tcPr>
            <w:tcW w:w="6660" w:type="dxa"/>
          </w:tcPr>
          <w:p w14:paraId="6CFDAC14" w14:textId="77777777" w:rsidR="003675E7" w:rsidRPr="00FA3CC5" w:rsidRDefault="003675E7" w:rsidP="00D808B4">
            <w:proofErr w:type="gramStart"/>
            <w:r w:rsidRPr="00FA3CC5">
              <w:t>flybys</w:t>
            </w:r>
            <w:proofErr w:type="gramEnd"/>
            <w:r w:rsidRPr="00FA3CC5">
              <w:t xml:space="preserve"> identified by RSS where the Low Gain Antenna could possibly be used to obtain RSS gravity data. Only one RSS LGA was actually utilized.</w:t>
            </w:r>
          </w:p>
        </w:tc>
      </w:tr>
      <w:tr w:rsidR="003675E7" w:rsidRPr="00FA3CC5" w14:paraId="20ECE5E3" w14:textId="77777777" w:rsidTr="003675E7">
        <w:tc>
          <w:tcPr>
            <w:tcW w:w="468" w:type="dxa"/>
          </w:tcPr>
          <w:p w14:paraId="60013023" w14:textId="77777777" w:rsidR="003675E7" w:rsidRPr="00FA3CC5" w:rsidRDefault="003675E7" w:rsidP="00D808B4"/>
        </w:tc>
        <w:tc>
          <w:tcPr>
            <w:tcW w:w="2430" w:type="dxa"/>
          </w:tcPr>
          <w:p w14:paraId="7E18E5F6" w14:textId="6769C6EC" w:rsidR="003675E7" w:rsidRPr="00FA3CC5" w:rsidRDefault="003675E7" w:rsidP="00D808B4">
            <w:r w:rsidRPr="00FA3CC5">
              <w:t>OD dead time</w:t>
            </w:r>
          </w:p>
        </w:tc>
        <w:tc>
          <w:tcPr>
            <w:tcW w:w="6660" w:type="dxa"/>
          </w:tcPr>
          <w:p w14:paraId="1C3B104C" w14:textId="77777777" w:rsidR="003675E7" w:rsidRPr="00FA3CC5" w:rsidRDefault="003675E7" w:rsidP="00D808B4">
            <w:r w:rsidRPr="00FA3CC5">
              <w:t xml:space="preserve">Orbit Determination dead time, intervals of 15 minutes or less which are used to bracket most of the activities in a targeted flyby so that any shifts in timing or trajectory introduced by later revisions long after initial planning of the timeline can be absorbed, keeping the timing of all activities in epoch-relative terms.  </w:t>
            </w:r>
          </w:p>
        </w:tc>
      </w:tr>
      <w:tr w:rsidR="003675E7" w:rsidRPr="00FA3CC5" w14:paraId="59B3EBC9" w14:textId="77777777" w:rsidTr="003675E7">
        <w:tc>
          <w:tcPr>
            <w:tcW w:w="468" w:type="dxa"/>
          </w:tcPr>
          <w:p w14:paraId="33EDE6E0" w14:textId="77777777" w:rsidR="003675E7" w:rsidRPr="00FA3CC5" w:rsidRDefault="003675E7" w:rsidP="00D808B4"/>
        </w:tc>
        <w:tc>
          <w:tcPr>
            <w:tcW w:w="2430" w:type="dxa"/>
          </w:tcPr>
          <w:p w14:paraId="3B3C0ABC" w14:textId="28A097D7" w:rsidR="003675E7" w:rsidRPr="00FA3CC5" w:rsidRDefault="003675E7" w:rsidP="00D808B4">
            <w:proofErr w:type="spellStart"/>
            <w:r w:rsidRPr="00FA3CC5">
              <w:t>OpMode</w:t>
            </w:r>
            <w:proofErr w:type="spellEnd"/>
          </w:p>
        </w:tc>
        <w:tc>
          <w:tcPr>
            <w:tcW w:w="6660" w:type="dxa"/>
          </w:tcPr>
          <w:p w14:paraId="09749CE6" w14:textId="77777777" w:rsidR="003675E7" w:rsidRPr="00FA3CC5" w:rsidRDefault="003675E7" w:rsidP="00D808B4">
            <w:r w:rsidRPr="00FA3CC5">
              <w:t xml:space="preserve">Operational Mode, allocating power to various subsystems. </w:t>
            </w:r>
          </w:p>
        </w:tc>
      </w:tr>
    </w:tbl>
    <w:p w14:paraId="453DFAE0" w14:textId="77777777" w:rsidR="006D1159" w:rsidRDefault="006D1159"/>
    <w:p w14:paraId="75CE3C76" w14:textId="77777777" w:rsidR="006D1159" w:rsidRDefault="006D1159"/>
    <w:p w14:paraId="03F279F3" w14:textId="77777777" w:rsidR="009251FA" w:rsidRDefault="009251FA"/>
    <w:p w14:paraId="083D1528" w14:textId="77777777" w:rsidR="009251FA" w:rsidRDefault="009251FA"/>
    <w:p w14:paraId="2A6143A6" w14:textId="77777777" w:rsidR="009251FA" w:rsidRDefault="009251FA"/>
    <w:sectPr w:rsidR="009251FA" w:rsidSect="003675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A"/>
    <w:rsid w:val="0004054F"/>
    <w:rsid w:val="00110921"/>
    <w:rsid w:val="00193048"/>
    <w:rsid w:val="002179BE"/>
    <w:rsid w:val="003675E7"/>
    <w:rsid w:val="00474B7C"/>
    <w:rsid w:val="004E3280"/>
    <w:rsid w:val="005C6453"/>
    <w:rsid w:val="00667528"/>
    <w:rsid w:val="006C1FD2"/>
    <w:rsid w:val="006D1159"/>
    <w:rsid w:val="008002E0"/>
    <w:rsid w:val="00872661"/>
    <w:rsid w:val="008B5148"/>
    <w:rsid w:val="009251FA"/>
    <w:rsid w:val="009C3EA0"/>
    <w:rsid w:val="00A4038F"/>
    <w:rsid w:val="00A64C6A"/>
    <w:rsid w:val="00C14747"/>
    <w:rsid w:val="00CF79FE"/>
    <w:rsid w:val="00D80898"/>
    <w:rsid w:val="00D808B4"/>
    <w:rsid w:val="00E30B31"/>
    <w:rsid w:val="00E6762F"/>
    <w:rsid w:val="00FA3CC5"/>
    <w:rsid w:val="00FC1C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A2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888</Words>
  <Characters>5066</Characters>
  <Application>Microsoft Macintosh Word</Application>
  <DocSecurity>0</DocSecurity>
  <Lines>42</Lines>
  <Paragraphs>11</Paragraphs>
  <ScaleCrop>false</ScaleCrop>
  <Company>JPL</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6</cp:revision>
  <dcterms:created xsi:type="dcterms:W3CDTF">2017-02-10T17:05:00Z</dcterms:created>
  <dcterms:modified xsi:type="dcterms:W3CDTF">2017-10-02T23:32:00Z</dcterms:modified>
</cp:coreProperties>
</file>